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097, de 18 de agosto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diária a servidor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MASCARENHAS BARROS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Gabinete do Prefeito, ocupante do cargo de Motorista de Representação do Gabinete, a quantia de três diárias e meia, sendo cada diária no valor de R$ 150,00 (cento e cinqüenta reais), somando um total de R$ 525,00 (quinhentos e vinte e cinco reais), para fazer face às despesas com alimentação e pousada, no período de 05:00 horas do dia 19/08/2022 às 13:00 horas do dia 22/08/2022, onde estará levando e acompanhando o Prefeito até o município de Goiânia - GO para tratamento de saúde.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18 de agosto de 2022.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KtNROOQtMjfF3gjJHr7Gma7MDg==">AMUW2mWswLyXAPuFso/fOhQGM9kiYyXwQz9J2CCzldfw6+6qKdUuvUf6KRZRLyb/RGQhO9DiMt3ZgFGq1HI9SLLULZh6hPbr8Jn1vZv0YH9dVTtQEFekhk0=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2022-07-05T13:40:00Z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