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DECRETO Nº 057, de 10 de maio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Courier New" w:cs="Courier New" w:eastAsia="Courier New" w:hAnsi="Courier New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80" w:firstLine="0"/>
        <w:jc w:val="both"/>
        <w:rPr>
          <w:rFonts w:ascii="Courier New" w:cs="Courier New" w:eastAsia="Courier New" w:hAnsi="Courier New"/>
          <w:b w:val="0"/>
          <w:i w:val="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vertAlign w:val="baseline"/>
          <w:rtl w:val="0"/>
        </w:rPr>
        <w:t xml:space="preserve">“Concede licença por interesse particular e dá outras providências”.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2880" w:firstLine="0"/>
        <w:jc w:val="both"/>
        <w:rPr>
          <w:rFonts w:ascii="Courier New" w:cs="Courier New" w:eastAsia="Courier New" w:hAnsi="Courier New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709"/>
          <w:tab w:val="left" w:pos="993"/>
        </w:tabs>
        <w:spacing w:line="276" w:lineRule="auto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O Prefeito Municipal de Tocantínia, Estado do Tocantins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, no uso de suas atribuições legais, conferidas pela Lei Orgânica do Município,</w:t>
      </w:r>
    </w:p>
    <w:p w:rsidR="00000000" w:rsidDel="00000000" w:rsidP="00000000" w:rsidRDefault="00000000" w:rsidRPr="00000000" w14:paraId="00000006">
      <w:pPr>
        <w:tabs>
          <w:tab w:val="left" w:pos="1440"/>
        </w:tabs>
        <w:spacing w:line="276" w:lineRule="auto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08"/>
        <w:jc w:val="both"/>
        <w:rPr>
          <w:rFonts w:ascii="Courier New" w:cs="Courier New" w:eastAsia="Courier New" w:hAnsi="Courier New"/>
          <w:b w:val="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RESOLVE,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firstLine="2835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Art. 1°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 – Conceder a pedido, Licença por interesse particular, conforme Lei Municipal nº 238/2005 (Estatuto do Servidor) e Lei Municipal nº 501/2015, pelo período de 3 anos a partir de 04 de maio de 2022, ao servidor</w:t>
      </w: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efetivo</w:t>
      </w: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, EDMAR DA SILVA MACEDO,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motorista,</w:t>
      </w: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matrícula nº 606305, lotado na Secretaria Municipal de Saúde.</w:t>
      </w:r>
    </w:p>
    <w:p w:rsidR="00000000" w:rsidDel="00000000" w:rsidP="00000000" w:rsidRDefault="00000000" w:rsidRPr="00000000" w14:paraId="0000000A">
      <w:pPr>
        <w:spacing w:line="276" w:lineRule="auto"/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09"/>
        </w:tabs>
        <w:spacing w:line="276" w:lineRule="auto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ab/>
      </w: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Art. 2º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 – A presente licença poderá ser revogada a qualquer momento por interesse da Administração Pública Municipal.</w:t>
      </w:r>
    </w:p>
    <w:p w:rsidR="00000000" w:rsidDel="00000000" w:rsidP="00000000" w:rsidRDefault="00000000" w:rsidRPr="00000000" w14:paraId="0000000C">
      <w:pPr>
        <w:tabs>
          <w:tab w:val="left" w:pos="1276"/>
          <w:tab w:val="left" w:pos="1440"/>
        </w:tabs>
        <w:spacing w:line="276" w:lineRule="auto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Este Decreto tem efeito retroativo ao dia 04 de maio de 2022.</w: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Art. 4º -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Fica notificado o setor de</w:t>
      </w: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recursos humanos para os procedimentos necessários. </w:t>
      </w:r>
    </w:p>
    <w:p w:rsidR="00000000" w:rsidDel="00000000" w:rsidP="00000000" w:rsidRDefault="00000000" w:rsidRPr="00000000" w14:paraId="00000010">
      <w:pPr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Registra-se, Publica-se e Cumpra-se.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284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10 de maio de 2022.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ourier New" w:cs="Courier New" w:eastAsia="Courier New" w:hAnsi="Courier New"/>
          <w:b w:val="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Prefeito Municipal</w:t>
      </w:r>
    </w:p>
    <w:sectPr>
      <w:headerReference r:id="rId7" w:type="default"/>
      <w:footerReference r:id="rId8" w:type="default"/>
      <w:pgSz w:h="16840" w:w="11907" w:orient="portrait"/>
      <w:pgMar w:bottom="709" w:top="1452" w:left="1418" w:right="1418" w:header="709" w:footer="2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tocantinia@tocantinia.to.gov.br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und" w:val="und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hAnsi="Aria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VlRrqApdEFbmO+Jeo7fqg8iHfQ==">AMUW2mW65D21jUjmbrqfnQNZPjZ1ga3lvp9C/FvxXJwWhGL3rtb5+5BYbmJvKbM3sRyCNpPAHqLW+Thsqi0zaCWfRL0RF+HfTxM1go4vsKVWZcUCRQh3agY=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2022-05-10T12:51:00Z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