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071, de 29 de junho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“Concede diária a servidor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Conceder ao Servidor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MASCARENHAS BARROS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no Gabinete do Prefeito, ocupante do cargo de Motorista de Representação do Gabinete, a quantia de 2 diárias, sendo cada diária no valor de R$ 150,00 (cento e cinqüenta reais), somando um total de  300,00 (trezentos reais), para fazer face às despesas com alimentação e pousada, no período de 20:00 horas do dia 29/06/2022 às 13:00 horas do dia 01/07/2022, onde estará levando o Prefeito até a cidade de Brasília-DF.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29 de junho de 2022. 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Xcde8VMi8XOq6QE6NgecISMw5w==">AMUW2mXIgjF6Qh26SZGkF2rPndFLPsPcrUUjxqraGZ+qzI+0cXcWWmzE593NFKQNM4YLry9mc11+txrQ5hlsGfn0KTjL5WrkeC1NUpmI673XfUm6eHrBymk=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2022-06-29T15:15:00Z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